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both"/>
        <w:rPr>
          <w:sz w:val="24"/>
          <w:szCs w:val="24"/>
        </w:rPr>
      </w:pPr>
      <w:r w:rsidDel="00000000" w:rsidR="00000000" w:rsidRPr="00000000">
        <w:rPr>
          <w:sz w:val="24"/>
          <w:szCs w:val="24"/>
          <w:rtl w:val="0"/>
        </w:rPr>
        <w:t xml:space="preserve">40. Konferencja Energetyczna EuroPOWER &amp; OZE POWER</w:t>
      </w:r>
    </w:p>
    <w:p w:rsidR="00000000" w:rsidDel="00000000" w:rsidP="00000000" w:rsidRDefault="00000000" w:rsidRPr="00000000" w14:paraId="00000002">
      <w:pPr>
        <w:spacing w:line="360" w:lineRule="auto"/>
        <w:jc w:val="both"/>
        <w:rPr>
          <w:b w:val="1"/>
          <w:sz w:val="24"/>
          <w:szCs w:val="24"/>
        </w:rPr>
      </w:pPr>
      <w:r w:rsidDel="00000000" w:rsidR="00000000" w:rsidRPr="00000000">
        <w:rPr>
          <w:sz w:val="24"/>
          <w:szCs w:val="24"/>
          <w:rtl w:val="0"/>
        </w:rPr>
        <w:t xml:space="preserve">Tytuł: </w:t>
      </w:r>
      <w:r w:rsidDel="00000000" w:rsidR="00000000" w:rsidRPr="00000000">
        <w:rPr>
          <w:b w:val="1"/>
          <w:sz w:val="24"/>
          <w:szCs w:val="24"/>
          <w:rtl w:val="0"/>
        </w:rPr>
        <w:t xml:space="preserve">Posiedzenie Rady Programowej 40. edycji Konferencji Energetycznej EuroPOWER &amp; OZE POWER</w:t>
      </w:r>
    </w:p>
    <w:p w:rsidR="00000000" w:rsidDel="00000000" w:rsidP="00000000" w:rsidRDefault="00000000" w:rsidRPr="00000000" w14:paraId="00000003">
      <w:pPr>
        <w:spacing w:after="240" w:before="240" w:line="360" w:lineRule="auto"/>
        <w:jc w:val="both"/>
        <w:rPr>
          <w:sz w:val="24"/>
          <w:szCs w:val="24"/>
        </w:rPr>
      </w:pPr>
      <w:r w:rsidDel="00000000" w:rsidR="00000000" w:rsidRPr="00000000">
        <w:rPr>
          <w:sz w:val="24"/>
          <w:szCs w:val="24"/>
          <w:rtl w:val="0"/>
        </w:rPr>
        <w:t xml:space="preserve">18 czerwca 2024 roku w Warszawie, w siedzibie Urzędu Regulacji Energetyki (URE), odbyła się Rada Programowa mająca na celu przygotowanie programu </w:t>
      </w:r>
      <w:r w:rsidDel="00000000" w:rsidR="00000000" w:rsidRPr="00000000">
        <w:rPr>
          <w:b w:val="1"/>
          <w:sz w:val="24"/>
          <w:szCs w:val="24"/>
          <w:rtl w:val="0"/>
        </w:rPr>
        <w:t xml:space="preserve">40. edycji Konferencji Energetycznej EuroPOWER &amp; OZE POWER</w:t>
      </w:r>
      <w:r w:rsidDel="00000000" w:rsidR="00000000" w:rsidRPr="00000000">
        <w:rPr>
          <w:sz w:val="24"/>
          <w:szCs w:val="24"/>
          <w:rtl w:val="0"/>
        </w:rPr>
        <w:t xml:space="preserve">, zaplanowanej na 7-8 listopada 2024 roku. Spotkanie zgromadziło ekspertów i liderów sektora energetycznego, którzy przedyskutowali kluczowe tematy dotyczące przyszłości energetyki w Polsce, obejmujące szeroki wachlarz zagadnień od transformacji energetycznej po rolę danych i technologii w tym sektorze.</w:t>
      </w:r>
    </w:p>
    <w:p w:rsidR="00000000" w:rsidDel="00000000" w:rsidP="00000000" w:rsidRDefault="00000000" w:rsidRPr="00000000" w14:paraId="00000004">
      <w:pPr>
        <w:spacing w:after="240" w:before="240" w:line="360" w:lineRule="auto"/>
        <w:jc w:val="both"/>
        <w:rPr>
          <w:sz w:val="24"/>
          <w:szCs w:val="24"/>
        </w:rPr>
      </w:pPr>
      <w:r w:rsidDel="00000000" w:rsidR="00000000" w:rsidRPr="00000000">
        <w:rPr>
          <w:sz w:val="24"/>
          <w:szCs w:val="24"/>
          <w:rtl w:val="0"/>
        </w:rPr>
        <w:t xml:space="preserve">Dyskusję poprowadził Przewodniczący Rady Programowej i p.o. Prezesa Polskich Elektrowni Jądrowych – Leszek Juchniewicz oraz Piotr Rutkowski Sekretarz Rady Programowej. Rozmowę rozpoczęto od omówienia rosnącej potrzeby rozwoju cyberbezpieczeństwa w sektorze energetycznym. Podkreślono, że ten aspekt nie jest odpowiednio zabezpieczony ani przez firmy, ani przez państwo. Następnie poruszono temat transformacji energetycznej Polski, skoncentrowanej na przejściu od węgla do odnawialnych źródeł energii, oceniając obecny miks energetyczny i wpływ unijnej polityki klimatycznej. Kluczowe były kwestie współpracy międzysektorowej oraz zarządzania sektorem gazowym i paliwowym, zwłaszcza w kontekście globalnych zmian rynkowych i rosnących cen surowców. Podkreślono znaczenie stabilności dostaw, rozwoju infrastruktury LNG oraz roli nowych technologii i cyfryzacji. Zwrócono również uwagę na wpływy firm wschodnich, w szczególności Chińskich, i ich produktów na rynek europejski oraz dokonano oceny związanych z tym zagrożeń.</w:t>
      </w:r>
    </w:p>
    <w:p w:rsidR="00000000" w:rsidDel="00000000" w:rsidP="00000000" w:rsidRDefault="00000000" w:rsidRPr="00000000" w14:paraId="00000005">
      <w:pPr>
        <w:spacing w:after="240" w:before="240" w:line="360" w:lineRule="auto"/>
        <w:jc w:val="both"/>
        <w:rPr>
          <w:sz w:val="24"/>
          <w:szCs w:val="24"/>
        </w:rPr>
      </w:pPr>
      <w:r w:rsidDel="00000000" w:rsidR="00000000" w:rsidRPr="00000000">
        <w:rPr>
          <w:sz w:val="24"/>
          <w:szCs w:val="24"/>
          <w:rtl w:val="0"/>
        </w:rPr>
        <w:t xml:space="preserve">Dyskutowano o korzyściach ekonomicznych i środowiskowych związanych z wykorzystaniem odnawialnych źródeł energii (OZE) oraz o roli Przemysłu 4.0 i ESG w zrównoważonym rozwoju. Ważnym tematem była również kluczowa rola danych w zarządzaniu energetyką, z naciskiem na sektor prywatny, bezpieczeństwo oraz integrację systemów.</w:t>
      </w:r>
    </w:p>
    <w:p w:rsidR="00000000" w:rsidDel="00000000" w:rsidP="00000000" w:rsidRDefault="00000000" w:rsidRPr="00000000" w14:paraId="00000006">
      <w:pPr>
        <w:spacing w:after="240" w:before="240" w:line="360" w:lineRule="auto"/>
        <w:jc w:val="both"/>
        <w:rPr>
          <w:sz w:val="24"/>
          <w:szCs w:val="24"/>
        </w:rPr>
      </w:pPr>
      <w:r w:rsidDel="00000000" w:rsidR="00000000" w:rsidRPr="00000000">
        <w:rPr>
          <w:sz w:val="24"/>
          <w:szCs w:val="24"/>
          <w:rtl w:val="0"/>
        </w:rPr>
        <w:t xml:space="preserve">Omówiono także temat energii jądrowej, skupiając się na harmonogramie inwestycji oraz standardach bezpieczeństwa. Dyskusje dotyczące modernizacji sieci dystrybucyjnych podkreślały konieczność inwestycji oraz adaptacji infrastruktury do zmiennych źródeł energii, wykorzystania nowoczesnych technologii monitoringu i automatyzacji. W zakresie finansowania transformacji energetycznej omawiano dostępność kapitału, różnorodne źródła finansowania oraz wpływ polityki gospodarczej i regulacji na realizację projektów energetycznych.</w:t>
      </w:r>
    </w:p>
    <w:p w:rsidR="00000000" w:rsidDel="00000000" w:rsidP="00000000" w:rsidRDefault="00000000" w:rsidRPr="00000000" w14:paraId="00000007">
      <w:pPr>
        <w:spacing w:after="240" w:before="240" w:line="360" w:lineRule="auto"/>
        <w:jc w:val="both"/>
        <w:rPr>
          <w:sz w:val="24"/>
          <w:szCs w:val="24"/>
        </w:rPr>
      </w:pPr>
      <w:r w:rsidDel="00000000" w:rsidR="00000000" w:rsidRPr="00000000">
        <w:rPr>
          <w:sz w:val="24"/>
          <w:szCs w:val="24"/>
          <w:rtl w:val="0"/>
        </w:rPr>
        <w:t xml:space="preserve">Znaczenie magazynowania energii zostało szczególnie podkreślone przez uczestników, którzy wskazali na jego kluczową rolę w stabilizacji sieci energetycznych oraz integracji odnawialnych źródeł energii. Ten element zyskuje coraz większe znaczenie w kontekście zmieniającego się miksu energetycznego i rosnącego udziału OZE.</w:t>
      </w:r>
    </w:p>
    <w:p w:rsidR="00000000" w:rsidDel="00000000" w:rsidP="00000000" w:rsidRDefault="00000000" w:rsidRPr="00000000" w14:paraId="00000008">
      <w:pPr>
        <w:spacing w:after="240" w:before="240" w:line="360" w:lineRule="auto"/>
        <w:jc w:val="both"/>
        <w:rPr>
          <w:sz w:val="24"/>
          <w:szCs w:val="24"/>
        </w:rPr>
      </w:pPr>
      <w:r w:rsidDel="00000000" w:rsidR="00000000" w:rsidRPr="00000000">
        <w:rPr>
          <w:sz w:val="24"/>
          <w:szCs w:val="24"/>
          <w:rtl w:val="0"/>
        </w:rPr>
        <w:t xml:space="preserve">Podkreślono również element społeczny w kontekście transformacji energetycznej, zwracając uwagę na konieczność angażowania społeczności lokalnych i rozważenia ich indywidualnego podejścia. Wprowadzono blok poświęcony zarządzaniu nadwyżkami energii i cyberbezpieczeństwu w kontekście prosumentów.</w:t>
      </w:r>
    </w:p>
    <w:p w:rsidR="00000000" w:rsidDel="00000000" w:rsidP="00000000" w:rsidRDefault="00000000" w:rsidRPr="00000000" w14:paraId="00000009">
      <w:pPr>
        <w:spacing w:after="240" w:before="240" w:line="360" w:lineRule="auto"/>
        <w:jc w:val="both"/>
        <w:rPr>
          <w:sz w:val="24"/>
          <w:szCs w:val="24"/>
        </w:rPr>
      </w:pPr>
      <w:r w:rsidDel="00000000" w:rsidR="00000000" w:rsidRPr="00000000">
        <w:rPr>
          <w:sz w:val="24"/>
          <w:szCs w:val="24"/>
          <w:rtl w:val="0"/>
        </w:rPr>
        <w:t xml:space="preserve">Podkreślenie potrzeby poprawy efektywności energetycznej w ciepłownictwie zwróciło uwagę na konieczność inwestycji, wsparcia regulacyjnego oraz współpracy sektora publicznego i prywatnego w dekarbonizacji. Omówiono także wyzwania i strategie ochrony sektora energetycznego przed cyberatakami, z naciskiem na znaczenie regulacji, nowych technologii oraz współpracy międzysektorowej w zapewnieniu bezpieczeństwa infrastruktury krytycznej.</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W posiedzeniu Rady Programowej 40. edycji Konferencji Energetycznej EuroPOWER &amp; OZE POWER udział wzięli m.in.:</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numPr>
          <w:ilvl w:val="0"/>
          <w:numId w:val="1"/>
        </w:numPr>
        <w:spacing w:line="360" w:lineRule="auto"/>
        <w:ind w:left="720" w:hanging="360"/>
        <w:jc w:val="both"/>
        <w:rPr>
          <w:sz w:val="24"/>
          <w:szCs w:val="24"/>
        </w:rPr>
      </w:pPr>
      <w:r w:rsidDel="00000000" w:rsidR="00000000" w:rsidRPr="00000000">
        <w:rPr>
          <w:sz w:val="24"/>
          <w:szCs w:val="24"/>
          <w:rtl w:val="0"/>
        </w:rPr>
        <w:t xml:space="preserve">Rafał Gawin,</w:t>
        <w:tab/>
        <w:t xml:space="preserve">Prezes Urząd Regulacji Energetyki </w:t>
      </w:r>
    </w:p>
    <w:p w:rsidR="00000000" w:rsidDel="00000000" w:rsidP="00000000" w:rsidRDefault="00000000" w:rsidRPr="00000000" w14:paraId="0000000D">
      <w:pPr>
        <w:numPr>
          <w:ilvl w:val="0"/>
          <w:numId w:val="1"/>
        </w:numPr>
        <w:spacing w:line="360" w:lineRule="auto"/>
        <w:ind w:left="720" w:hanging="360"/>
        <w:jc w:val="both"/>
        <w:rPr>
          <w:sz w:val="24"/>
          <w:szCs w:val="24"/>
        </w:rPr>
      </w:pPr>
      <w:r w:rsidDel="00000000" w:rsidR="00000000" w:rsidRPr="00000000">
        <w:rPr>
          <w:sz w:val="24"/>
          <w:szCs w:val="24"/>
          <w:rtl w:val="0"/>
        </w:rPr>
        <w:t xml:space="preserve">Monika, Gawlik, Dyrektorka Departamentu Spółek Paliwowo–Energetycznych, Ministerstwo Aktywów Państwowych</w:t>
      </w:r>
    </w:p>
    <w:p w:rsidR="00000000" w:rsidDel="00000000" w:rsidP="00000000" w:rsidRDefault="00000000" w:rsidRPr="00000000" w14:paraId="0000000E">
      <w:pPr>
        <w:numPr>
          <w:ilvl w:val="0"/>
          <w:numId w:val="1"/>
        </w:numPr>
        <w:spacing w:line="360" w:lineRule="auto"/>
        <w:ind w:left="720" w:hanging="360"/>
        <w:jc w:val="both"/>
        <w:rPr>
          <w:sz w:val="24"/>
          <w:szCs w:val="24"/>
        </w:rPr>
      </w:pPr>
      <w:r w:rsidDel="00000000" w:rsidR="00000000" w:rsidRPr="00000000">
        <w:rPr>
          <w:sz w:val="24"/>
          <w:szCs w:val="24"/>
          <w:rtl w:val="0"/>
        </w:rPr>
        <w:t xml:space="preserve">Bohdana Horáčková, Prezes Zarządu, Dyrektor Generalny, CEZ Polska</w:t>
      </w:r>
    </w:p>
    <w:p w:rsidR="00000000" w:rsidDel="00000000" w:rsidP="00000000" w:rsidRDefault="00000000" w:rsidRPr="00000000" w14:paraId="0000000F">
      <w:pPr>
        <w:numPr>
          <w:ilvl w:val="0"/>
          <w:numId w:val="1"/>
        </w:numPr>
        <w:spacing w:line="360" w:lineRule="auto"/>
        <w:ind w:left="720" w:hanging="360"/>
        <w:jc w:val="both"/>
        <w:rPr>
          <w:sz w:val="24"/>
          <w:szCs w:val="24"/>
        </w:rPr>
      </w:pPr>
      <w:r w:rsidDel="00000000" w:rsidR="00000000" w:rsidRPr="00000000">
        <w:rPr>
          <w:sz w:val="24"/>
          <w:szCs w:val="24"/>
          <w:rtl w:val="0"/>
        </w:rPr>
        <w:t xml:space="preserve">Michał</w:t>
        <w:tab/>
        <w:t xml:space="preserve">Łęski, Zastępca Dyrektora Departamentu OZE,</w:t>
        <w:tab/>
        <w:t xml:space="preserve">Ministerstwo Klimatu i Środowiska</w:t>
      </w:r>
    </w:p>
    <w:p w:rsidR="00000000" w:rsidDel="00000000" w:rsidP="00000000" w:rsidRDefault="00000000" w:rsidRPr="00000000" w14:paraId="00000010">
      <w:pPr>
        <w:numPr>
          <w:ilvl w:val="0"/>
          <w:numId w:val="1"/>
        </w:numPr>
        <w:spacing w:line="360" w:lineRule="auto"/>
        <w:ind w:left="720" w:hanging="360"/>
        <w:jc w:val="both"/>
        <w:rPr>
          <w:sz w:val="24"/>
          <w:szCs w:val="24"/>
        </w:rPr>
      </w:pPr>
      <w:r w:rsidDel="00000000" w:rsidR="00000000" w:rsidRPr="00000000">
        <w:rPr>
          <w:sz w:val="24"/>
          <w:szCs w:val="24"/>
          <w:rtl w:val="0"/>
        </w:rPr>
        <w:t xml:space="preserve">Michał Rospędek, Departament Górnictwa i Hutnictwa, Ministerstwo Przemysłu</w:t>
      </w:r>
    </w:p>
    <w:p w:rsidR="00000000" w:rsidDel="00000000" w:rsidP="00000000" w:rsidRDefault="00000000" w:rsidRPr="00000000" w14:paraId="00000011">
      <w:pPr>
        <w:numPr>
          <w:ilvl w:val="0"/>
          <w:numId w:val="1"/>
        </w:numPr>
        <w:spacing w:line="360" w:lineRule="auto"/>
        <w:ind w:left="720" w:hanging="360"/>
        <w:jc w:val="both"/>
        <w:rPr>
          <w:sz w:val="24"/>
          <w:szCs w:val="24"/>
        </w:rPr>
      </w:pPr>
      <w:r w:rsidDel="00000000" w:rsidR="00000000" w:rsidRPr="00000000">
        <w:rPr>
          <w:sz w:val="24"/>
          <w:szCs w:val="24"/>
          <w:rtl w:val="0"/>
        </w:rPr>
        <w:t xml:space="preserve">Marek</w:t>
        <w:tab/>
        <w:t xml:space="preserve">Kwiatkowski, Country Manager, Yokogawa</w:t>
      </w:r>
    </w:p>
    <w:p w:rsidR="00000000" w:rsidDel="00000000" w:rsidP="00000000" w:rsidRDefault="00000000" w:rsidRPr="00000000" w14:paraId="00000012">
      <w:pPr>
        <w:numPr>
          <w:ilvl w:val="0"/>
          <w:numId w:val="1"/>
        </w:numPr>
        <w:spacing w:line="360" w:lineRule="auto"/>
        <w:ind w:left="720" w:hanging="360"/>
        <w:jc w:val="both"/>
        <w:rPr>
          <w:sz w:val="24"/>
          <w:szCs w:val="24"/>
        </w:rPr>
      </w:pPr>
      <w:r w:rsidDel="00000000" w:rsidR="00000000" w:rsidRPr="00000000">
        <w:rPr>
          <w:sz w:val="24"/>
          <w:szCs w:val="24"/>
          <w:rtl w:val="0"/>
        </w:rPr>
        <w:t xml:space="preserve">Marek</w:t>
        <w:tab/>
        <w:t xml:space="preserve">Głazowski, Prezes Zarządu, IFS</w:t>
      </w:r>
    </w:p>
    <w:p w:rsidR="00000000" w:rsidDel="00000000" w:rsidP="00000000" w:rsidRDefault="00000000" w:rsidRPr="00000000" w14:paraId="00000013">
      <w:pPr>
        <w:numPr>
          <w:ilvl w:val="0"/>
          <w:numId w:val="1"/>
        </w:numPr>
        <w:spacing w:line="360" w:lineRule="auto"/>
        <w:ind w:left="720" w:hanging="360"/>
        <w:jc w:val="both"/>
        <w:rPr>
          <w:sz w:val="24"/>
          <w:szCs w:val="24"/>
        </w:rPr>
      </w:pPr>
      <w:r w:rsidDel="00000000" w:rsidR="00000000" w:rsidRPr="00000000">
        <w:rPr>
          <w:sz w:val="24"/>
          <w:szCs w:val="24"/>
          <w:rtl w:val="0"/>
        </w:rPr>
        <w:t xml:space="preserve">Agnieszka Głośniewska, Dyrektor Pionu Marketingu i Komunikacji Korporacyjnej, Gaz system</w:t>
      </w:r>
    </w:p>
    <w:p w:rsidR="00000000" w:rsidDel="00000000" w:rsidP="00000000" w:rsidRDefault="00000000" w:rsidRPr="00000000" w14:paraId="00000014">
      <w:pPr>
        <w:numPr>
          <w:ilvl w:val="0"/>
          <w:numId w:val="1"/>
        </w:numPr>
        <w:spacing w:line="360" w:lineRule="auto"/>
        <w:ind w:left="720" w:hanging="360"/>
        <w:jc w:val="both"/>
        <w:rPr>
          <w:sz w:val="24"/>
          <w:szCs w:val="24"/>
        </w:rPr>
      </w:pPr>
      <w:r w:rsidDel="00000000" w:rsidR="00000000" w:rsidRPr="00000000">
        <w:rPr>
          <w:sz w:val="24"/>
          <w:szCs w:val="24"/>
          <w:rtl w:val="0"/>
        </w:rPr>
        <w:t xml:space="preserve">Beata Jarosz, Dyrektor ds. komunikacji, PSE</w:t>
      </w:r>
    </w:p>
    <w:p w:rsidR="00000000" w:rsidDel="00000000" w:rsidP="00000000" w:rsidRDefault="00000000" w:rsidRPr="00000000" w14:paraId="00000015">
      <w:pPr>
        <w:numPr>
          <w:ilvl w:val="0"/>
          <w:numId w:val="1"/>
        </w:numPr>
        <w:spacing w:line="360" w:lineRule="auto"/>
        <w:ind w:left="720" w:hanging="360"/>
        <w:jc w:val="both"/>
        <w:rPr>
          <w:sz w:val="24"/>
          <w:szCs w:val="24"/>
        </w:rPr>
      </w:pPr>
      <w:r w:rsidDel="00000000" w:rsidR="00000000" w:rsidRPr="00000000">
        <w:rPr>
          <w:sz w:val="24"/>
          <w:szCs w:val="24"/>
          <w:rtl w:val="0"/>
        </w:rPr>
        <w:t xml:space="preserve">Artur Nizioł, Członek Rady Nadzorczej, Biogas system</w:t>
      </w:r>
    </w:p>
    <w:p w:rsidR="00000000" w:rsidDel="00000000" w:rsidP="00000000" w:rsidRDefault="00000000" w:rsidRPr="00000000" w14:paraId="00000016">
      <w:pPr>
        <w:numPr>
          <w:ilvl w:val="0"/>
          <w:numId w:val="1"/>
        </w:numPr>
        <w:spacing w:line="360" w:lineRule="auto"/>
        <w:ind w:left="720" w:hanging="360"/>
        <w:jc w:val="both"/>
        <w:rPr>
          <w:sz w:val="24"/>
          <w:szCs w:val="24"/>
        </w:rPr>
      </w:pPr>
      <w:r w:rsidDel="00000000" w:rsidR="00000000" w:rsidRPr="00000000">
        <w:rPr>
          <w:sz w:val="24"/>
          <w:szCs w:val="24"/>
          <w:rtl w:val="0"/>
        </w:rPr>
        <w:t xml:space="preserve">Roman Szwed, Przewodniczący Rady Nadzorczej, Atende S.A. </w:t>
      </w:r>
    </w:p>
    <w:p w:rsidR="00000000" w:rsidDel="00000000" w:rsidP="00000000" w:rsidRDefault="00000000" w:rsidRPr="00000000" w14:paraId="00000017">
      <w:pPr>
        <w:numPr>
          <w:ilvl w:val="0"/>
          <w:numId w:val="1"/>
        </w:numPr>
        <w:spacing w:line="360" w:lineRule="auto"/>
        <w:ind w:left="720" w:hanging="360"/>
        <w:jc w:val="both"/>
        <w:rPr>
          <w:sz w:val="24"/>
          <w:szCs w:val="24"/>
        </w:rPr>
      </w:pPr>
      <w:r w:rsidDel="00000000" w:rsidR="00000000" w:rsidRPr="00000000">
        <w:rPr>
          <w:sz w:val="24"/>
          <w:szCs w:val="24"/>
          <w:rtl w:val="0"/>
        </w:rPr>
        <w:t xml:space="preserve">Maciej Wyczesany, Prezes Zarządu, Dyrektor Generalny, Apator S.A.</w:t>
      </w:r>
    </w:p>
    <w:p w:rsidR="00000000" w:rsidDel="00000000" w:rsidP="00000000" w:rsidRDefault="00000000" w:rsidRPr="00000000" w14:paraId="00000018">
      <w:pPr>
        <w:numPr>
          <w:ilvl w:val="0"/>
          <w:numId w:val="1"/>
        </w:numPr>
        <w:spacing w:line="360" w:lineRule="auto"/>
        <w:ind w:left="720" w:hanging="360"/>
        <w:jc w:val="both"/>
        <w:rPr>
          <w:sz w:val="24"/>
          <w:szCs w:val="24"/>
        </w:rPr>
      </w:pPr>
      <w:r w:rsidDel="00000000" w:rsidR="00000000" w:rsidRPr="00000000">
        <w:rPr>
          <w:sz w:val="24"/>
          <w:szCs w:val="24"/>
          <w:rtl w:val="0"/>
        </w:rPr>
        <w:t xml:space="preserve">Jędrzej Maśnicki, Head of International Regulations, PGE</w:t>
      </w:r>
    </w:p>
    <w:p w:rsidR="00000000" w:rsidDel="00000000" w:rsidP="00000000" w:rsidRDefault="00000000" w:rsidRPr="00000000" w14:paraId="00000019">
      <w:pPr>
        <w:spacing w:line="360" w:lineRule="auto"/>
        <w:jc w:val="both"/>
        <w:rPr>
          <w:sz w:val="24"/>
          <w:szCs w:val="24"/>
        </w:rPr>
      </w:pPr>
      <w:r w:rsidDel="00000000" w:rsidR="00000000" w:rsidRPr="00000000">
        <w:rPr>
          <w:rtl w:val="0"/>
        </w:rPr>
      </w:r>
    </w:p>
    <w:p w:rsidR="00000000" w:rsidDel="00000000" w:rsidP="00000000" w:rsidRDefault="00000000" w:rsidRPr="00000000" w14:paraId="0000001A">
      <w:pPr>
        <w:spacing w:line="360" w:lineRule="auto"/>
        <w:jc w:val="both"/>
        <w:rPr>
          <w:sz w:val="24"/>
          <w:szCs w:val="24"/>
        </w:rPr>
      </w:pPr>
      <w:r w:rsidDel="00000000" w:rsidR="00000000" w:rsidRPr="00000000">
        <w:rPr>
          <w:sz w:val="24"/>
          <w:szCs w:val="24"/>
          <w:rtl w:val="0"/>
        </w:rPr>
        <w:t xml:space="preserve">Agenda wydarzenia zostanie udostępniona wkrótce.</w:t>
      </w:r>
    </w:p>
    <w:p w:rsidR="00000000" w:rsidDel="00000000" w:rsidP="00000000" w:rsidRDefault="00000000" w:rsidRPr="00000000" w14:paraId="0000001B">
      <w:pPr>
        <w:spacing w:line="360" w:lineRule="auto"/>
        <w:jc w:val="both"/>
        <w:rPr>
          <w:sz w:val="24"/>
          <w:szCs w:val="24"/>
        </w:rPr>
      </w:pPr>
      <w:r w:rsidDel="00000000" w:rsidR="00000000" w:rsidRPr="00000000">
        <w:rPr>
          <w:rtl w:val="0"/>
        </w:rPr>
      </w:r>
    </w:p>
    <w:p w:rsidR="00000000" w:rsidDel="00000000" w:rsidP="00000000" w:rsidRDefault="00000000" w:rsidRPr="00000000" w14:paraId="0000001C">
      <w:pPr>
        <w:spacing w:line="360" w:lineRule="auto"/>
        <w:jc w:val="both"/>
        <w:rPr/>
      </w:pPr>
      <w:r w:rsidDel="00000000" w:rsidR="00000000" w:rsidRPr="00000000">
        <w:rPr>
          <w:sz w:val="24"/>
          <w:szCs w:val="24"/>
          <w:rtl w:val="0"/>
        </w:rPr>
        <w:t xml:space="preserve">Zapraszamy do zapoznania się z </w:t>
      </w:r>
      <w:hyperlink r:id="rId6">
        <w:r w:rsidDel="00000000" w:rsidR="00000000" w:rsidRPr="00000000">
          <w:rPr>
            <w:color w:val="1155cc"/>
            <w:sz w:val="24"/>
            <w:szCs w:val="24"/>
            <w:u w:val="single"/>
            <w:rtl w:val="0"/>
          </w:rPr>
          <w:t xml:space="preserve">fotorelacją z posiedzenia Rady Programowej.</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konferencjaeuropower.pl/posiedzenie-rady-programowej-40-europower-oze-power-18-06-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